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2020" w:type="dxa"/>
        <w:jc w:val="left"/>
        <w:tblInd w:w="-12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4a0" w:noHBand="0" w:lastColumn="0" w:firstColumn="1" w:lastRow="0" w:firstRow="1"/>
      </w:tblPr>
      <w:tblGrid>
        <w:gridCol w:w="9653"/>
        <w:gridCol w:w="835"/>
        <w:gridCol w:w="1532"/>
      </w:tblGrid>
      <w:tr>
        <w:trPr>
          <w:trHeight w:val="225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РОБОТИ З УКЛАДАННЯ ФОРМАТНОЇ ПЛИТКИ: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Rubik" w:hAnsi="Rubik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Rubik" w:hAnsi="Rubik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ahoma" w:ascii="Rubik" w:hAnsi="Rubik"/>
                <w:b/>
                <w:bCs/>
                <w:color w:val="333333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Rubik" w:hAnsi="Rubik"/>
                <w:b/>
                <w:bCs/>
                <w:color w:val="333333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ahoma" w:ascii="Rubik" w:hAnsi="Rubik"/>
                <w:b/>
                <w:bCs/>
                <w:color w:val="333333"/>
                <w:sz w:val="24"/>
                <w:szCs w:val="24"/>
                <w:lang w:eastAsia="ru-RU"/>
              </w:rPr>
              <w:t>і</w:t>
            </w:r>
            <w:r>
              <w:rPr>
                <w:rFonts w:eastAsia="Times New Roman" w:cs="Tahoma" w:ascii="Rubik" w:hAnsi="Rubik"/>
                <w:b/>
                <w:bCs/>
                <w:color w:val="333333"/>
                <w:sz w:val="24"/>
                <w:szCs w:val="24"/>
                <w:lang w:eastAsia="ru-RU"/>
              </w:rPr>
              <w:t>на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Розвантаження, підйом великоформатної плитки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шт.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дог.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Підготовка (ГКЛ, штукатурка, стяжка, гідроізоляція)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дог.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Укладання великоформатного керамограніта 1200х1200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Укладання великоформатного керамограніта 1600х1600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Укладання великоформатного керамограніта 1000х2000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Укладання широкоформатного керамограніта 1200х2400; 2600; 2800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Укладання широкоформатного керамограніта 1000х3000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1400</w:t>
            </w:r>
          </w:p>
        </w:tc>
      </w:tr>
      <w:tr>
        <w:trPr>
          <w:trHeight w:val="165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Укладання широкоформатного керамограніта 1200х3200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Укладання широкоформатного керамограніта 1500х3000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Укладання широкоформатного керамограніта 1600х3200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Укладання широкоформатного керамограніта більше 3200 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дог.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Укладання форматних плит товщиною 3 мм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+25%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Укладання форматних плит товщиною більше 6 мм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Rubik" w:hAnsi="Rubik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+50%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Порізка широкоформатного керамограніта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м.п.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Порізка під кут 45о великого формату (одна сторона)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м.п.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00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Рез широкоформатної плитки чистової зі шліфуванням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м.п.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00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Виріз отвору алмазною коронкою до 70 мм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шт.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Виріз отвору більше 70 мм, прямокутник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шт.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Виготовлення виробів: піддони, стільниці та ін.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шт.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дог.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Облицювання меблів великоформатним керамогранітом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Rubik" w:hAnsi="Rubik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+75%</w:t>
            </w:r>
          </w:p>
        </w:tc>
      </w:tr>
      <w:tr>
        <w:trPr>
          <w:trHeight w:val="270" w:hRule="atLeast"/>
        </w:trPr>
        <w:tc>
          <w:tcPr>
            <w:tcW w:w="9653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Двокомпонентна епоксидна затирка швів</w:t>
            </w:r>
          </w:p>
        </w:tc>
        <w:tc>
          <w:tcPr>
            <w:tcW w:w="835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  <w:r>
              <w:rPr/>
              <w:t>м2</w:t>
            </w:r>
          </w:p>
        </w:tc>
        <w:tc>
          <w:tcPr>
            <w:tcW w:w="1532" w:type="dxa"/>
            <w:tcBorders>
              <w:top w:val="single" w:sz="6" w:space="0" w:color="DDDDDD"/>
            </w:tcBorders>
            <w:shd w:color="auto" w:fill="F7F7F7" w:val="clear"/>
          </w:tcPr>
          <w:p>
            <w:pPr>
              <w:pStyle w:val="Normal"/>
              <w:spacing w:lineRule="auto" w:line="240" w:before="0" w:after="0"/>
              <w:rPr>
                <w:rFonts w:ascii="Rubik" w:hAnsi="Rubik" w:eastAsia="Times New Roman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val="en-US" w:eastAsia="ru-RU"/>
              </w:rPr>
              <w:t>15</w:t>
            </w:r>
            <w:r>
              <w:rPr>
                <w:rFonts w:eastAsia="Times New Roman" w:cs="Tahoma" w:ascii="Tahoma" w:hAnsi="Tahoma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pStyle w:val="Normal"/>
        <w:spacing w:before="0" w:after="160"/>
        <w:ind w:right="850"/>
        <w:rPr/>
      </w:pPr>
      <w:r>
        <w:rPr/>
      </w:r>
    </w:p>
    <w:sectPr>
      <w:type w:val="nextPage"/>
      <w:pgSz w:w="11906" w:h="16838"/>
      <w:pgMar w:left="1701" w:right="2125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ubik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754f8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4"/>
    <w:uiPriority w:val="9"/>
    <w:qFormat/>
    <w:rsid w:val="00754f82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link w:val="Heading3"/>
    <w:uiPriority w:val="9"/>
    <w:qFormat/>
    <w:rsid w:val="00754f82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" w:customStyle="1">
    <w:name w:val="Заголовок 4 Знак"/>
    <w:basedOn w:val="DefaultParagraphFont"/>
    <w:link w:val="Heading4"/>
    <w:uiPriority w:val="9"/>
    <w:qFormat/>
    <w:rsid w:val="00754f82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54f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54f82"/>
    <w:rPr>
      <w:color w:val="0000FF"/>
      <w:u w:val="single"/>
    </w:rPr>
  </w:style>
  <w:style w:type="character" w:styleId="Style12" w:customStyle="1">
    <w:name w:val="Текст у виносці Знак"/>
    <w:basedOn w:val="DefaultParagraphFont"/>
    <w:link w:val="BalloonText"/>
    <w:uiPriority w:val="99"/>
    <w:semiHidden/>
    <w:qFormat/>
    <w:rsid w:val="00754f82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754f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B730-A05E-4495-8ACD-77D968A0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LibreOffice/7.6.2.1$Linux_X86_64 LibreOffice_project/60$Build-1</Application>
  <AppVersion>15.0000</AppVersion>
  <Pages>1</Pages>
  <Words>154</Words>
  <Characters>1075</Characters>
  <CharactersWithSpaces>1208</CharactersWithSpaces>
  <Paragraphs>66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2023-01-20T16:46:00Z</dcterms:created>
  <dc:creator>Долинский Олег</dc:creator>
  <dc:description/>
  <dc:language>en-US</dc:language>
  <cp:lastModifiedBy/>
  <cp:lastPrinted>2023-07-28T06:02:00Z</cp:lastPrinted>
  <dcterms:modified xsi:type="dcterms:W3CDTF">2023-10-13T08:30:11Z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